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EF05DC">
      <w:pPr>
        <w:widowControl/>
        <w:spacing w:before="100" w:beforeAutospacing="1" w:after="100" w:afterAutospacing="1" w:line="360" w:lineRule="auto"/>
        <w:jc w:val="left"/>
        <w:rPr>
          <w:rFonts w:ascii="宋体" w:hAnsi="宋体" w:eastAsia="宋体" w:cs="宋体"/>
          <w:kern w:val="0"/>
          <w:sz w:val="24"/>
          <w:szCs w:val="24"/>
        </w:rPr>
      </w:pPr>
      <w:bookmarkStart w:id="0" w:name="_GoBack"/>
      <w:r>
        <w:rPr>
          <w:rFonts w:hint="eastAsia" w:ascii="华文中宋" w:hAnsi="华文中宋" w:eastAsia="华文中宋" w:cs="宋体"/>
          <w:b/>
          <w:bCs/>
          <w:kern w:val="0"/>
          <w:sz w:val="29"/>
          <w:szCs w:val="29"/>
          <w:shd w:val="clear" w:color="auto" w:fill="FFFFFF"/>
        </w:rPr>
        <w:t xml:space="preserve">附件 </w:t>
      </w:r>
      <w:r>
        <w:rPr>
          <w:rFonts w:hint="eastAsia" w:ascii="宋体" w:hAnsi="宋体" w:eastAsia="宋体" w:cs="宋体"/>
          <w:kern w:val="0"/>
          <w:sz w:val="32"/>
          <w:szCs w:val="32"/>
        </w:rPr>
        <w:t> </w:t>
      </w:r>
      <w:r>
        <w:rPr>
          <w:rFonts w:hint="eastAsia" w:ascii="华文中宋" w:hAnsi="华文中宋" w:eastAsia="华文中宋" w:cs="宋体"/>
          <w:b/>
          <w:bCs/>
          <w:kern w:val="0"/>
          <w:sz w:val="29"/>
          <w:szCs w:val="29"/>
          <w:shd w:val="clear" w:color="auto" w:fill="FFFFFF"/>
        </w:rPr>
        <w:t>上海电力大学202</w:t>
      </w:r>
      <w:r>
        <w:rPr>
          <w:rFonts w:hint="eastAsia" w:ascii="华文中宋" w:hAnsi="华文中宋" w:eastAsia="华文中宋" w:cs="宋体"/>
          <w:b/>
          <w:bCs/>
          <w:kern w:val="0"/>
          <w:sz w:val="29"/>
          <w:szCs w:val="29"/>
          <w:shd w:val="clear" w:color="auto" w:fill="FFFFFF"/>
          <w:lang w:val="en-US" w:eastAsia="zh-CN"/>
        </w:rPr>
        <w:t>5</w:t>
      </w:r>
      <w:r>
        <w:rPr>
          <w:rFonts w:hint="eastAsia" w:ascii="华文中宋" w:hAnsi="华文中宋" w:eastAsia="华文中宋" w:cs="宋体"/>
          <w:b/>
          <w:bCs/>
          <w:kern w:val="0"/>
          <w:sz w:val="29"/>
          <w:szCs w:val="29"/>
          <w:shd w:val="clear" w:color="auto" w:fill="FFFFFF"/>
        </w:rPr>
        <w:t>年度党建研究课题中期答辩顺序</w:t>
      </w:r>
    </w:p>
    <w:bookmarkEnd w:id="0"/>
    <w:tbl>
      <w:tblPr>
        <w:tblStyle w:val="2"/>
        <w:tblW w:w="11390" w:type="dxa"/>
        <w:jc w:val="center"/>
        <w:tblCellSpacing w:w="0" w:type="dxa"/>
        <w:tblLayout w:type="autofit"/>
        <w:tblCellMar>
          <w:top w:w="0" w:type="dxa"/>
          <w:left w:w="0" w:type="dxa"/>
          <w:bottom w:w="0" w:type="dxa"/>
          <w:right w:w="0" w:type="dxa"/>
        </w:tblCellMar>
      </w:tblPr>
      <w:tblGrid>
        <w:gridCol w:w="983"/>
        <w:gridCol w:w="5750"/>
        <w:gridCol w:w="2955"/>
        <w:gridCol w:w="1702"/>
      </w:tblGrid>
      <w:tr w14:paraId="6EC58B02">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BBF9BFC">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序号</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B280044">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课题名称</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4BB5615">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二级党组织</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9409945">
            <w:pPr>
              <w:widowControl/>
              <w:jc w:val="center"/>
              <w:textAlignment w:val="center"/>
              <w:rPr>
                <w:rFonts w:ascii="宋体" w:hAnsi="宋体" w:eastAsia="宋体" w:cs="宋体"/>
                <w:kern w:val="0"/>
                <w:sz w:val="24"/>
                <w:szCs w:val="24"/>
              </w:rPr>
            </w:pPr>
            <w:r>
              <w:rPr>
                <w:rFonts w:hint="eastAsia" w:ascii="华文细黑" w:hAnsi="华文细黑" w:eastAsia="华文细黑" w:cs="华文细黑"/>
                <w:b/>
                <w:color w:val="000000"/>
                <w:kern w:val="0"/>
                <w:sz w:val="22"/>
                <w:lang w:bidi="ar"/>
              </w:rPr>
              <w:t>课题负责人</w:t>
            </w:r>
          </w:p>
        </w:tc>
      </w:tr>
      <w:tr w14:paraId="3DE3B2E9">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9598223">
            <w:pPr>
              <w:widowControl/>
              <w:jc w:val="center"/>
              <w:textAlignment w:val="center"/>
              <w:rPr>
                <w:rFonts w:hint="eastAsia" w:ascii="华文细黑" w:hAnsi="华文细黑" w:eastAsia="华文细黑" w:cs="华文细黑"/>
                <w:b/>
                <w:color w:val="000000"/>
                <w:kern w:val="0"/>
                <w:sz w:val="22"/>
                <w:lang w:val="en-US" w:eastAsia="zh-CN" w:bidi="ar"/>
              </w:rPr>
            </w:pPr>
            <w:r>
              <w:rPr>
                <w:rFonts w:hint="eastAsia" w:ascii="宋体" w:hAnsi="宋体" w:eastAsia="宋体" w:cs="宋体"/>
                <w:b w:val="0"/>
                <w:bCs/>
                <w:color w:val="000000"/>
                <w:kern w:val="0"/>
                <w:sz w:val="22"/>
                <w:lang w:val="en-US" w:eastAsia="zh-CN" w:bidi="ar"/>
              </w:rPr>
              <w:t>1</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FFF7535">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思政育人与科创实践精准互嵌视角下推进党的建设与事业发展深度融合实践探索</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00953CD3">
            <w:pPr>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计算机学院党委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8C0ED45">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魏建华</w:t>
            </w:r>
          </w:p>
        </w:tc>
      </w:tr>
      <w:tr w14:paraId="7B6E0CF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D6B47BC">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2</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8CF7C3C">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“制度内循环+生态外循环”双轮驱动高校党建与事业发展融合发展</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69CCB1C">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环化学院党委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42A01BDC">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陶  莹</w:t>
            </w:r>
          </w:p>
        </w:tc>
      </w:tr>
      <w:tr w14:paraId="19D9D61F">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3096DA4">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3</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5919B5D">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上海高校党建与事业发展深度融合的动态量化评价机制研究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CC716B8">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机关党委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07EEF23">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石芳华</w:t>
            </w:r>
          </w:p>
        </w:tc>
      </w:tr>
      <w:tr w14:paraId="204F0F09">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762456F">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4</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BAFFCB5">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新形势下推动落实高校二级学院党的建设与事业发展深度融合途径研究</w:t>
            </w:r>
          </w:p>
        </w:tc>
        <w:tc>
          <w:tcPr>
            <w:tcW w:w="2955" w:type="dxa"/>
            <w:vMerge w:val="restart"/>
            <w:tcBorders>
              <w:top w:val="single" w:color="auto" w:sz="4" w:space="0"/>
              <w:left w:val="single" w:color="000000" w:sz="6" w:space="0"/>
              <w:right w:val="single" w:color="000000" w:sz="6" w:space="0"/>
            </w:tcBorders>
            <w:tcMar>
              <w:top w:w="0" w:type="dxa"/>
              <w:left w:w="105" w:type="dxa"/>
              <w:bottom w:w="0" w:type="dxa"/>
              <w:right w:w="105" w:type="dxa"/>
            </w:tcMar>
            <w:vAlign w:val="center"/>
          </w:tcPr>
          <w:p w14:paraId="793BF2EA">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数理学院党委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2A46C96">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赵月琴</w:t>
            </w:r>
          </w:p>
        </w:tc>
      </w:tr>
      <w:tr w14:paraId="109CFCEF">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352A7D0">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5</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DEC4CEA">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“一融双高”视域下高校基层党组织支撑教育、科技、人才协同发展：内在逻辑和实施路径</w:t>
            </w:r>
          </w:p>
        </w:tc>
        <w:tc>
          <w:tcPr>
            <w:tcW w:w="2955" w:type="dxa"/>
            <w:vMerge w:val="continue"/>
            <w:tcBorders>
              <w:left w:val="single" w:color="000000" w:sz="6" w:space="0"/>
              <w:bottom w:val="single" w:color="000000" w:sz="6" w:space="0"/>
              <w:right w:val="single" w:color="000000" w:sz="6" w:space="0"/>
            </w:tcBorders>
            <w:tcMar>
              <w:top w:w="0" w:type="dxa"/>
              <w:left w:w="105" w:type="dxa"/>
              <w:bottom w:w="0" w:type="dxa"/>
              <w:right w:w="105" w:type="dxa"/>
            </w:tcMar>
            <w:vAlign w:val="center"/>
          </w:tcPr>
          <w:p w14:paraId="687528F3">
            <w:pPr>
              <w:widowControl/>
              <w:jc w:val="center"/>
              <w:textAlignment w:val="center"/>
              <w:rPr>
                <w:rFonts w:ascii="宋体" w:hAnsi="宋体" w:eastAsia="宋体" w:cs="Times New Roman"/>
                <w:color w:val="000000" w:themeColor="text1"/>
                <w:kern w:val="0"/>
                <w:szCs w:val="21"/>
                <w14:textFill>
                  <w14:solidFill>
                    <w14:schemeClr w14:val="tx1"/>
                  </w14:solidFill>
                </w14:textFill>
              </w:rPr>
            </w:pP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6F571F0">
            <w:pPr>
              <w:widowControl/>
              <w:jc w:val="center"/>
              <w:textAlignment w:val="center"/>
              <w:rPr>
                <w:rFonts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杨雪艺</w:t>
            </w:r>
          </w:p>
        </w:tc>
      </w:tr>
      <w:tr w14:paraId="3CBB69FA">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25DC852">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6</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BF6ED79">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基于DeepSeek等人工智能平台健全党员考核评价体系实践——以自动化本科学生党支部为例</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371D962">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自动化学院党委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7001205E">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刘</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莉</w:t>
            </w:r>
          </w:p>
        </w:tc>
      </w:tr>
      <w:tr w14:paraId="63BF4FBE">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D7118FA">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7</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664F482">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生成式人工智能背景下高校党组织和党员在网络空间有效发挥作用的实践研究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4317DBE">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计算机学院党委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28BA203">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齐永晓</w:t>
            </w:r>
          </w:p>
        </w:tc>
      </w:tr>
      <w:tr w14:paraId="2F91F92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38CFB64">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8</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04D68B3F">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高校毕业生党员教育内容与形式创新研究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221A6E7">
            <w:pPr>
              <w:widowControl/>
              <w:jc w:val="center"/>
              <w:textAlignment w:val="center"/>
              <w:rPr>
                <w:rFonts w:hint="eastAsia" w:ascii="宋体" w:hAnsi="宋体" w:eastAsia="宋体" w:cs="Times New Roman"/>
                <w:b w:val="0"/>
                <w:bCs w:val="0"/>
                <w:color w:val="000000" w:themeColor="text1"/>
                <w:kern w:val="0"/>
                <w:szCs w:val="21"/>
                <w14:textFill>
                  <w14:solidFill>
                    <w14:schemeClr w14:val="tx1"/>
                  </w14:solidFill>
                </w14:textFill>
              </w:rPr>
            </w:pPr>
            <w:r>
              <w:rPr>
                <w:rFonts w:hint="eastAsia" w:ascii="宋体" w:hAnsi="宋体" w:eastAsia="宋体" w:cs="Times New Roman"/>
                <w:b w:val="0"/>
                <w:bCs w:val="0"/>
                <w:color w:val="000000" w:themeColor="text1"/>
                <w:kern w:val="0"/>
                <w:szCs w:val="21"/>
                <w14:textFill>
                  <w14:solidFill>
                    <w14:schemeClr w14:val="tx1"/>
                  </w14:solidFill>
                </w14:textFill>
              </w:rPr>
              <w:t>能机学院党委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5AFE548">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王</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喆</w:t>
            </w:r>
          </w:p>
        </w:tc>
      </w:tr>
      <w:tr w14:paraId="4F494CDC">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4EC20EB">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9</w:t>
            </w:r>
          </w:p>
        </w:tc>
        <w:tc>
          <w:tcPr>
            <w:tcW w:w="5750"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60F2C27">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基于实效性与针对性探索高校基层党组织党员基本培训路径研究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CE8D720">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电信学院党委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94F8D93">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修绍梅</w:t>
            </w:r>
          </w:p>
        </w:tc>
      </w:tr>
      <w:tr w14:paraId="292DE591">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5EA1B79">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10</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D1E6F57">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基于OBE理念健全落实党员教育管理监督、作用发挥机制研究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6820E98">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环化学院党委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6F2EBAF">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孙晓华</w:t>
            </w:r>
          </w:p>
        </w:tc>
      </w:tr>
      <w:tr w14:paraId="59121583">
        <w:tblPrEx>
          <w:tblCellMar>
            <w:top w:w="0" w:type="dxa"/>
            <w:left w:w="0" w:type="dxa"/>
            <w:bottom w:w="0" w:type="dxa"/>
            <w:right w:w="0" w:type="dxa"/>
          </w:tblCellMar>
        </w:tblPrEx>
        <w:trPr>
          <w:trHeight w:val="582"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1C1BD8A">
            <w:pPr>
              <w:widowControl/>
              <w:jc w:val="center"/>
              <w:textAlignment w:val="center"/>
              <w:rPr>
                <w:rFonts w:hint="default" w:ascii="宋体" w:hAnsi="宋体" w:eastAsia="宋体" w:cs="Times New Roman"/>
                <w:color w:val="000000" w:themeColor="text1"/>
                <w:kern w:val="0"/>
                <w:sz w:val="22"/>
                <w:szCs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11</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8744569">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推动高校大学生理想信念教育常态化制度化研究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50F33CE">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机关党委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CDF694F">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马进明</w:t>
            </w:r>
          </w:p>
        </w:tc>
      </w:tr>
      <w:tr w14:paraId="47DAEA19">
        <w:tblPrEx>
          <w:tblCellMar>
            <w:top w:w="0" w:type="dxa"/>
            <w:left w:w="0" w:type="dxa"/>
            <w:bottom w:w="0" w:type="dxa"/>
            <w:right w:w="0" w:type="dxa"/>
          </w:tblCellMar>
        </w:tblPrEx>
        <w:trPr>
          <w:trHeight w:val="552"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B597D6B">
            <w:pPr>
              <w:widowControl/>
              <w:jc w:val="center"/>
              <w:textAlignment w:val="center"/>
              <w:rPr>
                <w:rFonts w:ascii="宋体" w:hAnsi="宋体" w:eastAsia="宋体" w:cs="Times New Roman"/>
                <w:color w:val="000000" w:themeColor="text1"/>
                <w:kern w:val="0"/>
                <w:sz w:val="22"/>
                <w:szCs w:val="22"/>
                <w:lang w:val="en-US"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12</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872C609">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防范化解意识形态领域重大风险机制研究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C07076F">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马克思主义学院党总支</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80DD94E">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彭</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丽</w:t>
            </w:r>
          </w:p>
        </w:tc>
      </w:tr>
      <w:tr w14:paraId="11369E73">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01852BB">
            <w:pPr>
              <w:widowControl/>
              <w:jc w:val="center"/>
              <w:textAlignment w:val="center"/>
              <w:rPr>
                <w:rFonts w:hint="eastAsia" w:ascii="宋体" w:hAnsi="宋体" w:eastAsia="宋体" w:cs="Times New Roman"/>
                <w:color w:val="000000" w:themeColor="text1"/>
                <w:kern w:val="0"/>
                <w:sz w:val="22"/>
                <w:lang w:val="en-US"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1</w:t>
            </w:r>
            <w:r>
              <w:rPr>
                <w:rFonts w:hint="eastAsia" w:ascii="宋体" w:hAnsi="宋体" w:eastAsia="宋体" w:cs="Times New Roman"/>
                <w:color w:val="000000" w:themeColor="text1"/>
                <w:kern w:val="0"/>
                <w:sz w:val="22"/>
                <w:lang w:val="en-US" w:eastAsia="zh-CN" w:bidi="ar"/>
                <w14:textFill>
                  <w14:solidFill>
                    <w14:schemeClr w14:val="tx1"/>
                  </w14:solidFill>
                </w14:textFill>
              </w:rPr>
              <w:t>3</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2948CD6">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新时代大学生理想信念教育常态化制度化的实践研究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E60D5A7">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自动化学院党委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44845205">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孙怀芹</w:t>
            </w:r>
          </w:p>
        </w:tc>
      </w:tr>
      <w:tr w14:paraId="4E08562C">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1E18B104">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14</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8A5B7D9">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深化党建引领高校体育文化建设的机制研究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9059438">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体育学院党总支</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3D18670">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金  斐</w:t>
            </w:r>
          </w:p>
        </w:tc>
      </w:tr>
      <w:tr w14:paraId="0DC7BA2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6CAB94B3">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15</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46E97C5">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深化党建引领新时代高校文化建设的机制研究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1954A0A">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人文艺术学院党总支</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51F65D9">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周洁明</w:t>
            </w:r>
          </w:p>
        </w:tc>
      </w:tr>
      <w:tr w14:paraId="06A73566">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5AD94AC">
            <w:pPr>
              <w:widowControl/>
              <w:jc w:val="center"/>
              <w:textAlignment w:val="center"/>
              <w:rPr>
                <w:rFonts w:hint="eastAsia" w:ascii="宋体" w:hAnsi="宋体" w:eastAsia="宋体" w:cs="Times New Roman"/>
                <w:color w:val="000000" w:themeColor="text1"/>
                <w:kern w:val="0"/>
                <w:sz w:val="22"/>
                <w:szCs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16</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0ED8BEC">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深化党建引领新时代高校文化高质量建设的机制研究</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EB30517">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机关党委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FA47FE1">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苏文娟</w:t>
            </w:r>
          </w:p>
        </w:tc>
      </w:tr>
      <w:tr w14:paraId="34FF5029">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0E0AE34">
            <w:pPr>
              <w:widowControl/>
              <w:jc w:val="center"/>
              <w:textAlignment w:val="center"/>
              <w:rPr>
                <w:rFonts w:hint="eastAsia" w:ascii="宋体" w:hAnsi="宋体" w:eastAsia="宋体" w:cs="Times New Roman"/>
                <w:color w:val="000000" w:themeColor="text1"/>
                <w:kern w:val="0"/>
                <w:sz w:val="22"/>
                <w:lang w:val="en-US"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1</w:t>
            </w:r>
            <w:r>
              <w:rPr>
                <w:rFonts w:hint="eastAsia" w:ascii="宋体" w:hAnsi="宋体" w:eastAsia="宋体" w:cs="Times New Roman"/>
                <w:color w:val="000000" w:themeColor="text1"/>
                <w:kern w:val="0"/>
                <w:sz w:val="22"/>
                <w:lang w:val="en-US" w:eastAsia="zh-CN" w:bidi="ar"/>
                <w14:textFill>
                  <w14:solidFill>
                    <w14:schemeClr w14:val="tx1"/>
                  </w14:solidFill>
                </w14:textFill>
              </w:rPr>
              <w:t>7</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B2993BD">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文化向度在思政课内涵式建设中的逻辑与方法研究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36CE4BC">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马克思主义学院党总支</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88914AD">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张</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弛</w:t>
            </w:r>
          </w:p>
        </w:tc>
      </w:tr>
      <w:tr w14:paraId="31B219E5">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B30536B">
            <w:pPr>
              <w:widowControl/>
              <w:jc w:val="center"/>
              <w:textAlignment w:val="center"/>
              <w:rPr>
                <w:rFonts w:hint="default" w:ascii="宋体" w:hAnsi="宋体" w:eastAsia="宋体" w:cs="Times New Roman"/>
                <w:color w:val="000000" w:themeColor="text1"/>
                <w:kern w:val="0"/>
                <w:sz w:val="22"/>
                <w:szCs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18</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6E68417">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高校离退休党建融入城市社区党建的机制路径初探</w:t>
            </w:r>
          </w:p>
        </w:tc>
        <w:tc>
          <w:tcPr>
            <w:tcW w:w="2955"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E0C9EF7">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 w:val="21"/>
                <w:szCs w:val="21"/>
                <w:lang w:val="en-US" w:eastAsia="zh-CN" w:bidi="ar-SA"/>
                <w14:textFill>
                  <w14:solidFill>
                    <w14:schemeClr w14:val="tx1"/>
                  </w14:solidFill>
                </w14:textFill>
              </w:rPr>
              <w:t>离退休党委</w:t>
            </w:r>
          </w:p>
        </w:tc>
        <w:tc>
          <w:tcPr>
            <w:tcW w:w="1702"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1905810">
            <w:pPr>
              <w:widowControl/>
              <w:jc w:val="center"/>
              <w:textAlignment w:val="center"/>
              <w:rPr>
                <w:rFonts w:hint="eastAsia" w:ascii="宋体" w:hAnsi="宋体" w:eastAsia="宋体" w:cs="Times New Roman"/>
                <w:color w:val="000000" w:themeColor="text1"/>
                <w:kern w:val="0"/>
                <w:sz w:val="21"/>
                <w:szCs w:val="21"/>
                <w:lang w:val="en-US" w:eastAsia="zh-CN" w:bidi="ar-SA"/>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李晓梅</w:t>
            </w:r>
          </w:p>
        </w:tc>
      </w:tr>
      <w:tr w14:paraId="7C6CBA3B">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19C728A">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19</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6B4FC5D">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健全完善高校干部担当作为的激励保护机制研究</w:t>
            </w:r>
          </w:p>
        </w:tc>
        <w:tc>
          <w:tcPr>
            <w:tcW w:w="295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3E999956">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继续教育学院（国际教育学院）党总支</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207418B">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李春秋</w:t>
            </w:r>
          </w:p>
        </w:tc>
      </w:tr>
      <w:tr w14:paraId="5B4613A2">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FD715A5">
            <w:pPr>
              <w:widowControl/>
              <w:jc w:val="center"/>
              <w:textAlignment w:val="center"/>
              <w:rPr>
                <w:rFonts w:hint="default" w:ascii="宋体" w:hAnsi="宋体" w:eastAsia="宋体" w:cs="Times New Roman"/>
                <w:color w:val="000000" w:themeColor="text1"/>
                <w:kern w:val="0"/>
                <w:sz w:val="22"/>
                <w:lang w:val="en-US" w:eastAsia="zh-CN" w:bidi="ar"/>
                <w14:textFill>
                  <w14:solidFill>
                    <w14:schemeClr w14:val="tx1"/>
                  </w14:solidFill>
                </w14:textFill>
              </w:rPr>
            </w:pPr>
            <w:r>
              <w:rPr>
                <w:rFonts w:hint="eastAsia" w:ascii="宋体" w:hAnsi="宋体" w:eastAsia="宋体" w:cs="Times New Roman"/>
                <w:color w:val="000000" w:themeColor="text1"/>
                <w:kern w:val="0"/>
                <w:sz w:val="22"/>
                <w:lang w:val="en-US" w:eastAsia="zh-CN" w:bidi="ar"/>
                <w14:textFill>
                  <w14:solidFill>
                    <w14:schemeClr w14:val="tx1"/>
                  </w14:solidFill>
                </w14:textFill>
              </w:rPr>
              <w:t>20</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555DF170">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人工智能时代“党建 +” 育人模式创新与 “能源 +” 人才培养的协同赋能研究</w:t>
            </w:r>
          </w:p>
        </w:tc>
        <w:tc>
          <w:tcPr>
            <w:tcW w:w="2955" w:type="dxa"/>
            <w:vMerge w:val="restart"/>
            <w:tcBorders>
              <w:top w:val="single" w:color="000000" w:sz="6" w:space="0"/>
              <w:left w:val="single" w:color="000000" w:sz="6" w:space="0"/>
              <w:right w:val="single" w:color="000000" w:sz="6" w:space="0"/>
            </w:tcBorders>
            <w:tcMar>
              <w:top w:w="0" w:type="dxa"/>
              <w:left w:w="105" w:type="dxa"/>
              <w:bottom w:w="0" w:type="dxa"/>
              <w:right w:w="105" w:type="dxa"/>
            </w:tcMar>
            <w:vAlign w:val="center"/>
          </w:tcPr>
          <w:p w14:paraId="34EA631F">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能机学院党委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2EE7A3FF">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高</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汕</w:t>
            </w:r>
          </w:p>
        </w:tc>
      </w:tr>
      <w:tr w14:paraId="7F8BE7B1">
        <w:tblPrEx>
          <w:tblCellMar>
            <w:top w:w="0" w:type="dxa"/>
            <w:left w:w="0" w:type="dxa"/>
            <w:bottom w:w="0" w:type="dxa"/>
            <w:right w:w="0" w:type="dxa"/>
          </w:tblCellMar>
        </w:tblPrEx>
        <w:trPr>
          <w:trHeight w:val="58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901E2B0">
            <w:pPr>
              <w:widowControl/>
              <w:jc w:val="center"/>
              <w:textAlignment w:val="center"/>
              <w:rPr>
                <w:rFonts w:hint="eastAsia" w:ascii="宋体" w:hAnsi="宋体" w:eastAsia="宋体" w:cs="Times New Roman"/>
                <w:color w:val="000000" w:themeColor="text1"/>
                <w:kern w:val="0"/>
                <w:sz w:val="22"/>
                <w:lang w:eastAsia="zh-CN" w:bidi="ar"/>
                <w14:textFill>
                  <w14:solidFill>
                    <w14:schemeClr w14:val="tx1"/>
                  </w14:solidFill>
                </w14:textFill>
              </w:rPr>
            </w:pPr>
            <w:r>
              <w:rPr>
                <w:rFonts w:ascii="宋体" w:hAnsi="宋体" w:eastAsia="宋体" w:cs="Times New Roman"/>
                <w:color w:val="000000" w:themeColor="text1"/>
                <w:kern w:val="0"/>
                <w:sz w:val="22"/>
                <w:lang w:bidi="ar"/>
                <w14:textFill>
                  <w14:solidFill>
                    <w14:schemeClr w14:val="tx1"/>
                  </w14:solidFill>
                </w14:textFill>
              </w:rPr>
              <w:t>2</w:t>
            </w:r>
            <w:r>
              <w:rPr>
                <w:rFonts w:hint="eastAsia" w:ascii="宋体" w:hAnsi="宋体" w:eastAsia="宋体" w:cs="Times New Roman"/>
                <w:color w:val="000000" w:themeColor="text1"/>
                <w:kern w:val="0"/>
                <w:sz w:val="22"/>
                <w:lang w:val="en-US" w:eastAsia="zh-CN" w:bidi="ar"/>
                <w14:textFill>
                  <w14:solidFill>
                    <w14:schemeClr w14:val="tx1"/>
                  </w14:solidFill>
                </w14:textFill>
              </w:rPr>
              <w:t>1</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7A0D6AA7">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新时代高质量党建引领高校智库高质量发展路径探索研究</w:t>
            </w:r>
          </w:p>
        </w:tc>
        <w:tc>
          <w:tcPr>
            <w:tcW w:w="2955" w:type="dxa"/>
            <w:vMerge w:val="continue"/>
            <w:tcBorders>
              <w:left w:val="single" w:color="000000" w:sz="6" w:space="0"/>
              <w:bottom w:val="single" w:color="000000" w:sz="6" w:space="0"/>
              <w:right w:val="single" w:color="000000" w:sz="6" w:space="0"/>
            </w:tcBorders>
            <w:tcMar>
              <w:top w:w="0" w:type="dxa"/>
              <w:left w:w="105" w:type="dxa"/>
              <w:bottom w:w="0" w:type="dxa"/>
              <w:right w:w="105" w:type="dxa"/>
            </w:tcMar>
            <w:vAlign w:val="center"/>
          </w:tcPr>
          <w:p w14:paraId="7C49C9BA">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B334DF2">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吴</w:t>
            </w:r>
            <w:r>
              <w:rPr>
                <w:rFonts w:hint="eastAsia" w:ascii="宋体" w:hAnsi="宋体" w:eastAsia="宋体" w:cs="Times New Roman"/>
                <w:color w:val="000000" w:themeColor="text1"/>
                <w:kern w:val="0"/>
                <w:szCs w:val="21"/>
                <w:lang w:val="en-US" w:eastAsia="zh-CN"/>
                <w14:textFill>
                  <w14:solidFill>
                    <w14:schemeClr w14:val="tx1"/>
                  </w14:solidFill>
                </w14:textFill>
              </w:rPr>
              <w:t xml:space="preserve">  </w:t>
            </w:r>
            <w:r>
              <w:rPr>
                <w:rFonts w:hint="eastAsia" w:ascii="宋体" w:hAnsi="宋体" w:eastAsia="宋体" w:cs="Times New Roman"/>
                <w:color w:val="000000" w:themeColor="text1"/>
                <w:kern w:val="0"/>
                <w:szCs w:val="21"/>
                <w14:textFill>
                  <w14:solidFill>
                    <w14:schemeClr w14:val="tx1"/>
                  </w14:solidFill>
                </w14:textFill>
              </w:rPr>
              <w:t>琼</w:t>
            </w:r>
          </w:p>
        </w:tc>
      </w:tr>
      <w:tr w14:paraId="71AF662D">
        <w:tblPrEx>
          <w:tblCellMar>
            <w:top w:w="0" w:type="dxa"/>
            <w:left w:w="0" w:type="dxa"/>
            <w:bottom w:w="0" w:type="dxa"/>
            <w:right w:w="0" w:type="dxa"/>
          </w:tblCellMar>
        </w:tblPrEx>
        <w:trPr>
          <w:trHeight w:val="705"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1B1E7CEC">
            <w:pPr>
              <w:widowControl/>
              <w:jc w:val="center"/>
              <w:textAlignment w:val="center"/>
              <w:rPr>
                <w:rFonts w:hint="default" w:ascii="宋体" w:hAnsi="宋体" w:eastAsia="宋体" w:cs="Times New Roman"/>
                <w:color w:val="000000" w:themeColor="text1"/>
                <w:kern w:val="0"/>
                <w:szCs w:val="21"/>
                <w:lang w:val="en-US" w:eastAsia="zh-CN" w:bidi="ar"/>
                <w14:textFill>
                  <w14:solidFill>
                    <w14:schemeClr w14:val="tx1"/>
                  </w14:solidFill>
                </w14:textFill>
              </w:rPr>
            </w:pPr>
            <w:r>
              <w:rPr>
                <w:rFonts w:hint="eastAsia" w:ascii="宋体" w:hAnsi="宋体" w:eastAsia="宋体" w:cs="Times New Roman"/>
                <w:color w:val="000000" w:themeColor="text1"/>
                <w:kern w:val="0"/>
                <w:szCs w:val="21"/>
                <w:lang w:val="en-US" w:eastAsia="zh-CN" w:bidi="ar"/>
                <w14:textFill>
                  <w14:solidFill>
                    <w14:schemeClr w14:val="tx1"/>
                  </w14:solidFill>
                </w14:textFill>
              </w:rPr>
              <w:t>22</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3FADD92B">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“红绿蓝”模式下大学生党建工作中创新理论武装机制的健全与深化研究</w:t>
            </w:r>
          </w:p>
        </w:tc>
        <w:tc>
          <w:tcPr>
            <w:tcW w:w="2955" w:type="dxa"/>
            <w:vMerge w:val="restart"/>
            <w:tcBorders>
              <w:top w:val="single" w:color="000000" w:sz="6" w:space="0"/>
              <w:left w:val="single" w:color="000000" w:sz="6" w:space="0"/>
              <w:right w:val="single" w:color="000000" w:sz="6" w:space="0"/>
            </w:tcBorders>
            <w:tcMar>
              <w:top w:w="0" w:type="dxa"/>
              <w:left w:w="105" w:type="dxa"/>
              <w:bottom w:w="0" w:type="dxa"/>
              <w:right w:w="105" w:type="dxa"/>
            </w:tcMar>
            <w:vAlign w:val="center"/>
          </w:tcPr>
          <w:p w14:paraId="1DC08E6B">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电气学院党委</w:t>
            </w: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0FDC15AD">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曲家瑶</w:t>
            </w:r>
          </w:p>
        </w:tc>
      </w:tr>
      <w:tr w14:paraId="4209D92F">
        <w:tblPrEx>
          <w:tblCellMar>
            <w:top w:w="0" w:type="dxa"/>
            <w:left w:w="0" w:type="dxa"/>
            <w:bottom w:w="0" w:type="dxa"/>
            <w:right w:w="0" w:type="dxa"/>
          </w:tblCellMar>
        </w:tblPrEx>
        <w:trPr>
          <w:trHeight w:val="600" w:hRule="atLeast"/>
          <w:tblCellSpacing w:w="0" w:type="dxa"/>
          <w:jc w:val="center"/>
        </w:trPr>
        <w:tc>
          <w:tcPr>
            <w:tcW w:w="983"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6E437B8B">
            <w:pPr>
              <w:widowControl/>
              <w:jc w:val="center"/>
              <w:textAlignment w:val="center"/>
              <w:rPr>
                <w:rFonts w:hint="default" w:ascii="宋体" w:hAnsi="宋体" w:eastAsia="宋体" w:cs="Times New Roman"/>
                <w:color w:val="000000" w:themeColor="text1"/>
                <w:kern w:val="0"/>
                <w:szCs w:val="21"/>
                <w:lang w:val="en-US" w:eastAsia="zh-CN" w:bidi="ar"/>
                <w14:textFill>
                  <w14:solidFill>
                    <w14:schemeClr w14:val="tx1"/>
                  </w14:solidFill>
                </w14:textFill>
              </w:rPr>
            </w:pPr>
            <w:r>
              <w:rPr>
                <w:rFonts w:hint="eastAsia" w:ascii="宋体" w:hAnsi="宋体" w:eastAsia="宋体" w:cs="Times New Roman"/>
                <w:color w:val="000000" w:themeColor="text1"/>
                <w:kern w:val="0"/>
                <w:szCs w:val="21"/>
                <w:lang w:val="en-US" w:eastAsia="zh-CN" w:bidi="ar"/>
                <w14:textFill>
                  <w14:solidFill>
                    <w14:schemeClr w14:val="tx1"/>
                  </w14:solidFill>
                </w14:textFill>
              </w:rPr>
              <w:t>23</w:t>
            </w:r>
          </w:p>
        </w:tc>
        <w:tc>
          <w:tcPr>
            <w:tcW w:w="5750" w:type="dxa"/>
            <w:tcBorders>
              <w:top w:val="single" w:color="000000" w:sz="6" w:space="0"/>
              <w:left w:val="single" w:color="000000" w:sz="6" w:space="0"/>
              <w:bottom w:val="single" w:color="000000" w:sz="6" w:space="0"/>
              <w:right w:val="single" w:color="000000" w:sz="6" w:space="0"/>
            </w:tcBorders>
            <w:shd w:val="clear" w:color="auto" w:fill="auto"/>
            <w:tcMar>
              <w:top w:w="0" w:type="dxa"/>
              <w:left w:w="105" w:type="dxa"/>
              <w:bottom w:w="0" w:type="dxa"/>
              <w:right w:w="105" w:type="dxa"/>
            </w:tcMar>
            <w:vAlign w:val="center"/>
          </w:tcPr>
          <w:p w14:paraId="2C9B212A">
            <w:pPr>
              <w:widowControl/>
              <w:jc w:val="center"/>
              <w:textAlignment w:val="center"/>
              <w:rPr>
                <w:rFonts w:hint="eastAsia" w:ascii="宋体" w:hAnsi="宋体" w:eastAsia="宋体" w:cs="Times New Roman"/>
                <w:color w:val="000000" w:themeColor="text1"/>
                <w:kern w:val="0"/>
                <w:szCs w:val="21"/>
                <w:lang w:val="en-US" w:eastAsia="zh-CN"/>
                <w14:textFill>
                  <w14:solidFill>
                    <w14:schemeClr w14:val="tx1"/>
                  </w14:solidFill>
                </w14:textFill>
              </w:rPr>
            </w:pPr>
            <w:r>
              <w:rPr>
                <w:rFonts w:hint="eastAsia" w:ascii="宋体" w:hAnsi="宋体" w:eastAsia="宋体" w:cs="Times New Roman"/>
                <w:color w:val="000000" w:themeColor="text1"/>
                <w:kern w:val="0"/>
                <w:szCs w:val="21"/>
                <w:lang w:val="en-US" w:eastAsia="zh-CN"/>
                <w14:textFill>
                  <w14:solidFill>
                    <w14:schemeClr w14:val="tx1"/>
                  </w14:solidFill>
                </w14:textFill>
              </w:rPr>
              <w:t>“党团班一体化”构建教育科技人才一体统筹推进机制研究</w:t>
            </w:r>
          </w:p>
        </w:tc>
        <w:tc>
          <w:tcPr>
            <w:tcW w:w="2955" w:type="dxa"/>
            <w:vMerge w:val="continue"/>
            <w:tcBorders>
              <w:left w:val="single" w:color="000000" w:sz="6" w:space="0"/>
              <w:bottom w:val="single" w:color="000000" w:sz="6" w:space="0"/>
              <w:right w:val="single" w:color="000000" w:sz="6" w:space="0"/>
            </w:tcBorders>
            <w:tcMar>
              <w:top w:w="0" w:type="dxa"/>
              <w:left w:w="105" w:type="dxa"/>
              <w:bottom w:w="0" w:type="dxa"/>
              <w:right w:w="105" w:type="dxa"/>
            </w:tcMar>
            <w:vAlign w:val="center"/>
          </w:tcPr>
          <w:p w14:paraId="7C5EE00B">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p>
        </w:tc>
        <w:tc>
          <w:tcPr>
            <w:tcW w:w="1702"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14:paraId="57685F55">
            <w:pPr>
              <w:widowControl/>
              <w:jc w:val="center"/>
              <w:textAlignment w:val="center"/>
              <w:rPr>
                <w:rFonts w:hint="eastAsia" w:ascii="宋体" w:hAnsi="宋体" w:eastAsia="宋体" w:cs="Times New Roman"/>
                <w:color w:val="000000" w:themeColor="text1"/>
                <w:kern w:val="0"/>
                <w:szCs w:val="21"/>
                <w14:textFill>
                  <w14:solidFill>
                    <w14:schemeClr w14:val="tx1"/>
                  </w14:solidFill>
                </w14:textFill>
              </w:rPr>
            </w:pPr>
            <w:r>
              <w:rPr>
                <w:rFonts w:hint="eastAsia" w:ascii="宋体" w:hAnsi="宋体" w:eastAsia="宋体" w:cs="Times New Roman"/>
                <w:color w:val="000000" w:themeColor="text1"/>
                <w:kern w:val="0"/>
                <w:szCs w:val="21"/>
                <w14:textFill>
                  <w14:solidFill>
                    <w14:schemeClr w14:val="tx1"/>
                  </w14:solidFill>
                </w14:textFill>
              </w:rPr>
              <w:t>张文文</w:t>
            </w:r>
          </w:p>
        </w:tc>
      </w:tr>
    </w:tbl>
    <w:p w14:paraId="44B261CD"/>
    <w:p w14:paraId="318AE66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kMTI4YWNlYTdkN2YwNjU3NDE2YmI5MWY4NzI3ZGIifQ=="/>
  </w:docVars>
  <w:rsids>
    <w:rsidRoot w:val="3C8A043A"/>
    <w:rsid w:val="33AB385C"/>
    <w:rsid w:val="3C8A043A"/>
    <w:rsid w:val="46D26250"/>
    <w:rsid w:val="4CAD7BCE"/>
    <w:rsid w:val="54490C54"/>
    <w:rsid w:val="5A67521A"/>
    <w:rsid w:val="629E463B"/>
    <w:rsid w:val="66F95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